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65.060.99</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B91</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43</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43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2023</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玉米</w:t>
      </w:r>
      <w:r>
        <w:t>大豆带状复合种植机械化播种技术规程</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xml:space="preserve">Technical regulations </w:t>
      </w:r>
    </w:p>
    <w:p>
      <w:pPr>
        <w:pStyle w:val="125"/>
        <w:framePr w:w="9639" w:h="6974" w:hRule="exact" w:wrap="around" w:vAnchor="page" w:hAnchor="page" w:x="1419" w:y="6408" w:anchorLock="1"/>
        <w:textAlignment w:val="bottom"/>
        <w:rPr>
          <w:rFonts w:eastAsia="黑体"/>
          <w:szCs w:val="28"/>
        </w:rPr>
      </w:pPr>
      <w:r>
        <w:rPr>
          <w:rFonts w:eastAsia="黑体"/>
          <w:szCs w:val="28"/>
        </w:rPr>
        <w:t>for Mechanized Sowing of Corn and Soybean Strip Compound Planting</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（本草案完成时间：2023-08-16）</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2023</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21" w:name="BookMark1"/>
      <w:bookmarkStart w:id="22" w:name="_Toc114065170"/>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"_Toc143966211" </w:instrText>
      </w:r>
      <w:r>
        <w:fldChar w:fldCharType="separate"/>
      </w:r>
      <w:r>
        <w:rPr>
          <w:rStyle w:val="32"/>
          <w:rFonts w:hint="eastAsia"/>
        </w:rPr>
        <w:t>前言</w:t>
      </w:r>
      <w:r>
        <w:tab/>
      </w:r>
      <w:r>
        <w:fldChar w:fldCharType="begin"/>
      </w:r>
      <w:r>
        <w:instrText xml:space="preserve"> PAGEREF _Toc143966211 \h </w:instrText>
      </w:r>
      <w:r>
        <w:fldChar w:fldCharType="separate"/>
      </w:r>
      <w:r>
        <w:t>III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"_Toc143966212" </w:instrText>
      </w:r>
      <w:r>
        <w:fldChar w:fldCharType="separate"/>
      </w:r>
      <w:r>
        <w:rPr>
          <w:rStyle w:val="32"/>
        </w:rPr>
        <w:t xml:space="preserve">1 </w:t>
      </w:r>
      <w:r>
        <w:rPr>
          <w:rStyle w:val="32"/>
          <w:rFonts w:hint="eastAsia"/>
        </w:rPr>
        <w:t xml:space="preserve"> 范围</w:t>
      </w:r>
      <w:r>
        <w:tab/>
      </w:r>
      <w:r>
        <w:fldChar w:fldCharType="begin"/>
      </w:r>
      <w:r>
        <w:instrText xml:space="preserve"> PAGEREF _Toc143966212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"_Toc143966213" </w:instrText>
      </w:r>
      <w:r>
        <w:fldChar w:fldCharType="separate"/>
      </w:r>
      <w:r>
        <w:rPr>
          <w:rStyle w:val="32"/>
        </w:rPr>
        <w:t xml:space="preserve">2 </w:t>
      </w:r>
      <w:r>
        <w:rPr>
          <w:rStyle w:val="32"/>
          <w:rFonts w:hint="eastAsia"/>
        </w:rPr>
        <w:t xml:space="preserve"> 规范性引用文件</w:t>
      </w:r>
      <w:r>
        <w:tab/>
      </w:r>
      <w:r>
        <w:fldChar w:fldCharType="begin"/>
      </w:r>
      <w:r>
        <w:instrText xml:space="preserve"> PAGEREF _Toc143966213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"_Toc143966214" </w:instrText>
      </w:r>
      <w:r>
        <w:fldChar w:fldCharType="separate"/>
      </w:r>
      <w:r>
        <w:rPr>
          <w:rStyle w:val="32"/>
        </w:rPr>
        <w:t xml:space="preserve">3 </w:t>
      </w:r>
      <w:r>
        <w:rPr>
          <w:rStyle w:val="32"/>
          <w:rFonts w:hint="eastAsia"/>
        </w:rPr>
        <w:t xml:space="preserve"> 术语和定义</w:t>
      </w:r>
      <w:r>
        <w:tab/>
      </w:r>
      <w:r>
        <w:fldChar w:fldCharType="begin"/>
      </w:r>
      <w:r>
        <w:instrText xml:space="preserve"> PAGEREF _Toc143966214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"_Toc143966216" </w:instrText>
      </w:r>
      <w:r>
        <w:fldChar w:fldCharType="separate"/>
      </w:r>
      <w:r>
        <w:rPr>
          <w:rStyle w:val="32"/>
        </w:rPr>
        <w:t xml:space="preserve">4 </w:t>
      </w:r>
      <w:r>
        <w:rPr>
          <w:rStyle w:val="32"/>
          <w:rFonts w:hint="eastAsia"/>
        </w:rPr>
        <w:t xml:space="preserve"> 品种选择和质量要求</w:t>
      </w:r>
      <w:r>
        <w:tab/>
      </w:r>
      <w:r>
        <w:fldChar w:fldCharType="begin"/>
      </w:r>
      <w:r>
        <w:instrText xml:space="preserve"> PAGEREF _Toc143966216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"_Toc143966227" </w:instrText>
      </w:r>
      <w:r>
        <w:fldChar w:fldCharType="separate"/>
      </w:r>
      <w:r>
        <w:rPr>
          <w:rStyle w:val="32"/>
        </w:rPr>
        <w:t xml:space="preserve">5 </w:t>
      </w:r>
      <w:r>
        <w:rPr>
          <w:rStyle w:val="32"/>
          <w:rFonts w:hint="eastAsia"/>
        </w:rPr>
        <w:t xml:space="preserve"> 耕整地</w:t>
      </w:r>
      <w:r>
        <w:tab/>
      </w:r>
      <w:r>
        <w:fldChar w:fldCharType="begin"/>
      </w:r>
      <w:r>
        <w:instrText xml:space="preserve"> PAGEREF _Toc143966227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"_Toc143966231" </w:instrText>
      </w:r>
      <w:r>
        <w:fldChar w:fldCharType="separate"/>
      </w:r>
      <w:r>
        <w:rPr>
          <w:rStyle w:val="32"/>
        </w:rPr>
        <w:t xml:space="preserve">6 </w:t>
      </w:r>
      <w:r>
        <w:rPr>
          <w:rStyle w:val="32"/>
          <w:rFonts w:hint="eastAsia"/>
        </w:rPr>
        <w:t xml:space="preserve"> 播种时间</w:t>
      </w:r>
      <w:r>
        <w:tab/>
      </w:r>
      <w:r>
        <w:fldChar w:fldCharType="begin"/>
      </w:r>
      <w:r>
        <w:instrText xml:space="preserve"> PAGEREF _Toc143966231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"_Toc143966235" </w:instrText>
      </w:r>
      <w:r>
        <w:fldChar w:fldCharType="separate"/>
      </w:r>
      <w:r>
        <w:rPr>
          <w:rStyle w:val="32"/>
        </w:rPr>
        <w:t xml:space="preserve">7 </w:t>
      </w:r>
      <w:r>
        <w:rPr>
          <w:rStyle w:val="32"/>
          <w:rFonts w:hint="eastAsia"/>
        </w:rPr>
        <w:t xml:space="preserve"> 播种</w:t>
      </w:r>
      <w:r>
        <w:tab/>
      </w:r>
      <w:r>
        <w:fldChar w:fldCharType="begin"/>
      </w:r>
      <w:r>
        <w:instrText xml:space="preserve"> PAGEREF _Toc143966235 \h </w:instrText>
      </w:r>
      <w:r>
        <w:fldChar w:fldCharType="separate"/>
      </w:r>
      <w:r>
        <w:t>2</w:t>
      </w:r>
      <w:r>
        <w:fldChar w:fldCharType="end"/>
      </w:r>
      <w:r>
        <w:fldChar w:fldCharType="end"/>
      </w:r>
    </w:p>
    <w:p>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after="468"/>
      </w:pPr>
      <w:bookmarkStart w:id="23" w:name="_Toc143966211"/>
      <w:bookmarkStart w:id="24" w:name="BookMark2"/>
      <w:r>
        <w:rPr>
          <w:spacing w:val="320"/>
        </w:rPr>
        <w:t>前</w:t>
      </w:r>
      <w:r>
        <w:t>言</w:t>
      </w:r>
      <w:bookmarkEnd w:id="22"/>
      <w:bookmarkEnd w:id="23"/>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本文件由湖南省农机事务中心提出。</w:t>
      </w:r>
    </w:p>
    <w:p>
      <w:pPr>
        <w:pStyle w:val="56"/>
        <w:ind w:firstLine="420"/>
      </w:pPr>
      <w:r>
        <w:rPr>
          <w:rFonts w:hint="eastAsia"/>
        </w:rPr>
        <w:t>本文件由湖南省农业机械标准化技术委员会归口。</w:t>
      </w:r>
    </w:p>
    <w:p>
      <w:pPr>
        <w:pStyle w:val="56"/>
        <w:ind w:firstLine="420"/>
      </w:pPr>
      <w:r>
        <w:rPr>
          <w:rFonts w:hint="eastAsia"/>
        </w:rPr>
        <w:t>本文件起草单位：湖南丘陵智慧农业技术开发有限公司、娄底职业技术学院、湖南省农友机械集团有限公司。</w:t>
      </w:r>
    </w:p>
    <w:p>
      <w:pPr>
        <w:pStyle w:val="56"/>
        <w:ind w:firstLine="420"/>
      </w:pPr>
      <w:r>
        <w:rPr>
          <w:rFonts w:hint="eastAsia"/>
        </w:rPr>
        <w:t>本文件主要起草人：</w:t>
      </w:r>
    </w:p>
    <w:p>
      <w:pPr>
        <w:pStyle w:val="56"/>
        <w:ind w:firstLine="420"/>
      </w:pP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4"/>
    <w:p>
      <w:pPr>
        <w:spacing w:line="20" w:lineRule="exact"/>
        <w:jc w:val="center"/>
        <w:rPr>
          <w:rFonts w:ascii="黑体" w:hAnsi="黑体" w:eastAsia="黑体"/>
          <w:sz w:val="32"/>
          <w:szCs w:val="32"/>
        </w:rPr>
      </w:pPr>
      <w:bookmarkStart w:id="25" w:name="BookMark4"/>
    </w:p>
    <w:p>
      <w:pPr>
        <w:spacing w:line="20" w:lineRule="exact"/>
        <w:jc w:val="center"/>
        <w:rPr>
          <w:rFonts w:ascii="黑体" w:hAnsi="黑体" w:eastAsia="黑体"/>
          <w:sz w:val="32"/>
          <w:szCs w:val="32"/>
        </w:rPr>
      </w:pPr>
    </w:p>
    <w:sdt>
      <w:sdtPr>
        <w:tag w:val="NEW_STAND_NAME"/>
        <w:id w:val="595910757"/>
        <w:lock w:val="sdtLocked"/>
        <w:placeholder>
          <w:docPart w:val="6A75EEB839E7499CAE9309427BACA8E8"/>
        </w:placeholder>
      </w:sdtPr>
      <w:sdtContent>
        <w:p>
          <w:pPr>
            <w:pStyle w:val="177"/>
            <w:spacing w:before="3" w:beforeLines="1" w:after="680"/>
          </w:pPr>
          <w:bookmarkStart w:id="26" w:name="NEW_STAND_NAME"/>
          <w:r>
            <w:rPr>
              <w:rFonts w:ascii="Times New Roman" w:hAnsi="Times New Roman" w:eastAsia="方正仿宋_GBK"/>
              <w:color w:val="000000"/>
              <w:kern w:val="0"/>
              <w:szCs w:val="21"/>
            </w:rPr>
            <w:t>玉米大豆带状复合种植机械化播种技术规程</w:t>
          </w:r>
        </w:p>
      </w:sdtContent>
    </w:sdt>
    <w:bookmarkEnd w:id="26"/>
    <w:p>
      <w:pPr>
        <w:pStyle w:val="104"/>
        <w:spacing w:before="312" w:after="312"/>
      </w:pPr>
      <w:bookmarkStart w:id="27" w:name="_Toc17233333"/>
      <w:bookmarkStart w:id="28" w:name="_Toc26986771"/>
      <w:bookmarkStart w:id="29" w:name="_Toc24884218"/>
      <w:bookmarkStart w:id="30" w:name="_Toc24884211"/>
      <w:bookmarkStart w:id="31" w:name="_Toc26648465"/>
      <w:bookmarkStart w:id="32" w:name="_Toc17233325"/>
      <w:bookmarkStart w:id="33" w:name="_Toc26718930"/>
      <w:bookmarkStart w:id="34" w:name="_Toc97191423"/>
      <w:bookmarkStart w:id="35" w:name="_Toc26986530"/>
      <w:bookmarkStart w:id="36" w:name="_Toc114065171"/>
      <w:bookmarkStart w:id="37" w:name="_Toc143966212"/>
      <w:r>
        <w:rPr>
          <w:rFonts w:hint="eastAsia"/>
        </w:rPr>
        <w:t>范围</w:t>
      </w:r>
      <w:bookmarkEnd w:id="27"/>
      <w:bookmarkEnd w:id="28"/>
      <w:bookmarkEnd w:id="29"/>
      <w:bookmarkEnd w:id="30"/>
      <w:bookmarkEnd w:id="31"/>
      <w:bookmarkEnd w:id="32"/>
      <w:bookmarkEnd w:id="33"/>
      <w:bookmarkEnd w:id="34"/>
      <w:bookmarkEnd w:id="35"/>
      <w:bookmarkEnd w:id="36"/>
      <w:bookmarkEnd w:id="37"/>
    </w:p>
    <w:p>
      <w:pPr>
        <w:pStyle w:val="56"/>
        <w:ind w:firstLine="420"/>
      </w:pPr>
      <w:bookmarkStart w:id="38" w:name="_Toc24884212"/>
      <w:bookmarkStart w:id="39" w:name="_Toc17233334"/>
      <w:bookmarkStart w:id="40" w:name="_Toc24884219"/>
      <w:bookmarkStart w:id="41" w:name="_Toc17233326"/>
      <w:bookmarkStart w:id="42" w:name="_Toc26648466"/>
      <w:r>
        <w:t>本文件规定了</w:t>
      </w:r>
      <w:r>
        <w:rPr>
          <w:rFonts w:hint="eastAsia"/>
        </w:rPr>
        <w:t>玉米</w:t>
      </w:r>
      <w:r>
        <w:t>大豆</w:t>
      </w:r>
      <w:r>
        <w:rPr>
          <w:rFonts w:hint="eastAsia"/>
        </w:rPr>
        <w:t>带状复合种植机械化播种的术语和定义、品种选择和质量要求、耕整地、播种时间和播种。</w:t>
      </w:r>
    </w:p>
    <w:p>
      <w:pPr>
        <w:pStyle w:val="56"/>
        <w:ind w:firstLine="420"/>
      </w:pPr>
      <w:r>
        <w:rPr>
          <w:rFonts w:hint="eastAsia"/>
        </w:rPr>
        <w:t>本文件适用于</w:t>
      </w:r>
      <w:bookmarkStart w:id="78" w:name="_GoBack"/>
      <w:r>
        <w:rPr>
          <w:rFonts w:hint="eastAsia"/>
        </w:rPr>
        <w:t>玉米</w:t>
      </w:r>
      <w:r>
        <w:t>大豆</w:t>
      </w:r>
      <w:bookmarkEnd w:id="78"/>
      <w:r>
        <w:rPr>
          <w:rFonts w:hint="eastAsia"/>
        </w:rPr>
        <w:t>带状复合种植机械化播种作业。</w:t>
      </w:r>
    </w:p>
    <w:p>
      <w:pPr>
        <w:pStyle w:val="104"/>
        <w:spacing w:before="312" w:after="312"/>
      </w:pPr>
      <w:bookmarkStart w:id="43" w:name="_Toc26718931"/>
      <w:bookmarkStart w:id="44" w:name="_Toc26986531"/>
      <w:bookmarkStart w:id="45" w:name="_Toc26986772"/>
      <w:bookmarkStart w:id="46" w:name="_Toc97191424"/>
      <w:bookmarkStart w:id="47" w:name="_Toc114065172"/>
      <w:bookmarkStart w:id="48" w:name="_Toc143966213"/>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294ED7BC68A14FB2AE982BFC51ECBCA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spacing w:line="360" w:lineRule="exact"/>
        <w:ind w:firstLine="420" w:firstLineChars="200"/>
        <w:rPr>
          <w:rFonts w:ascii="宋体" w:hAnsi="宋体" w:cs="仿宋_GB2312"/>
        </w:rPr>
      </w:pPr>
      <w:bookmarkStart w:id="49" w:name="_Toc97191425"/>
      <w:r>
        <w:rPr>
          <w:rFonts w:ascii="宋体" w:hAnsi="宋体" w:cs="仿宋_GB2312"/>
        </w:rPr>
        <w:t>GB</w:t>
      </w:r>
      <w:r>
        <w:rPr>
          <w:rFonts w:hint="eastAsia" w:ascii="宋体" w:hAnsi="宋体" w:cs="仿宋_GB2312"/>
        </w:rPr>
        <w:t xml:space="preserve"> </w:t>
      </w:r>
      <w:r>
        <w:rPr>
          <w:rFonts w:ascii="宋体" w:hAnsi="宋体" w:cs="仿宋_GB2312"/>
        </w:rPr>
        <w:t>440</w:t>
      </w:r>
      <w:r>
        <w:rPr>
          <w:rFonts w:hint="eastAsia" w:ascii="宋体" w:hAnsi="宋体" w:cs="仿宋_GB2312"/>
        </w:rPr>
        <w:t>4</w:t>
      </w:r>
      <w:r>
        <w:rPr>
          <w:rFonts w:ascii="宋体" w:hAnsi="宋体" w:cs="仿宋_GB2312"/>
        </w:rPr>
        <w:t>.1粮食作物种子</w:t>
      </w:r>
      <w:r>
        <w:rPr>
          <w:rFonts w:hint="eastAsia" w:ascii="宋体" w:hAnsi="宋体" w:cs="仿宋_GB2312"/>
        </w:rPr>
        <w:t xml:space="preserve"> 第1部分：</w:t>
      </w:r>
      <w:r>
        <w:rPr>
          <w:rFonts w:ascii="宋体" w:hAnsi="宋体" w:cs="仿宋_GB2312"/>
        </w:rPr>
        <w:t>禾谷类</w:t>
      </w:r>
    </w:p>
    <w:p>
      <w:pPr>
        <w:spacing w:line="360" w:lineRule="exact"/>
        <w:ind w:firstLine="420" w:firstLineChars="200"/>
        <w:rPr>
          <w:rFonts w:ascii="宋体" w:hAnsi="宋体" w:cs="仿宋_GB2312"/>
        </w:rPr>
      </w:pPr>
      <w:r>
        <w:rPr>
          <w:rFonts w:hint="eastAsia" w:ascii="宋体" w:hAnsi="宋体" w:cs="仿宋_GB2312"/>
        </w:rPr>
        <w:t>GB 4404.2</w:t>
      </w:r>
      <w:r>
        <w:rPr>
          <w:rFonts w:ascii="宋体" w:hAnsi="宋体" w:cs="仿宋_GB2312"/>
        </w:rPr>
        <w:t>粮食作物种子</w:t>
      </w:r>
      <w:r>
        <w:rPr>
          <w:rFonts w:hint="eastAsia" w:ascii="宋体" w:hAnsi="宋体" w:cs="仿宋_GB2312"/>
        </w:rPr>
        <w:t xml:space="preserve"> 第2部分：豆类</w:t>
      </w:r>
    </w:p>
    <w:p>
      <w:pPr>
        <w:spacing w:line="360" w:lineRule="exact"/>
        <w:ind w:firstLine="420" w:firstLineChars="200"/>
        <w:rPr>
          <w:rStyle w:val="32"/>
          <w:rFonts w:hAnsi="宋体" w:cs="仿宋_GB2312"/>
        </w:rPr>
      </w:pPr>
      <w:r>
        <w:fldChar w:fldCharType="begin"/>
      </w:r>
      <w:r>
        <w:instrText xml:space="preserve"> HYPERLINK "http://www.baidu.com/link?url=4ejaK84u0sBgcwgoMipH9AHuzKh74qHcg7rvLwu2_EFijaao_eyjwbsaug1esm3cZQULBgIcVO195zJq2cZ3oMzC3_PRollgVXcL7940VUW" \t "_blank" </w:instrText>
      </w:r>
      <w:r>
        <w:fldChar w:fldCharType="separate"/>
      </w:r>
      <w:r>
        <w:rPr>
          <w:rStyle w:val="32"/>
          <w:rFonts w:hAnsi="宋体" w:cs="仿宋_GB2312"/>
        </w:rPr>
        <w:t>GB/T</w:t>
      </w:r>
      <w:r>
        <w:rPr>
          <w:rStyle w:val="32"/>
          <w:rFonts w:hint="eastAsia" w:hAnsi="宋体" w:cs="仿宋_GB2312"/>
        </w:rPr>
        <w:t xml:space="preserve"> </w:t>
      </w:r>
      <w:r>
        <w:rPr>
          <w:rStyle w:val="32"/>
          <w:rFonts w:hAnsi="宋体" w:cs="仿宋_GB2312"/>
        </w:rPr>
        <w:t>5668</w:t>
      </w:r>
      <w:r>
        <w:rPr>
          <w:rStyle w:val="32"/>
          <w:rFonts w:hAnsi="宋体" w:cs="仿宋_GB2312"/>
        </w:rPr>
        <w:fldChar w:fldCharType="end"/>
      </w:r>
      <w:r>
        <w:rPr>
          <w:rFonts w:hint="eastAsia" w:ascii="宋体" w:hAnsi="宋体" w:cs="仿宋_GB2312"/>
        </w:rPr>
        <w:t xml:space="preserve"> 旋耕机</w:t>
      </w:r>
      <w:r>
        <w:rPr>
          <w:rFonts w:ascii="宋体" w:hAnsi="宋体" w:cs="仿宋_GB2312"/>
        </w:rPr>
        <w:fldChar w:fldCharType="begin"/>
      </w:r>
      <w:r>
        <w:rPr>
          <w:rFonts w:ascii="宋体" w:hAnsi="宋体" w:cs="仿宋_GB2312"/>
        </w:rPr>
        <w:instrText xml:space="preserve"> HYPERLINK "http://www.baidu.com/link?url=oVGBQL5hLoCa7jeT8QavIQ9K6o4bvgshkite4geFm6fbItcw068GNcry3d5alBja3X0PBl5EUa77QpcurRyQCeO3wcMEuPhDzZsKzQhoOVmd_q7qmgDwSRlrF0ZaIH6GGqTzY5O3F7YOUefLLd0pf_4gRZBQ74YhA2FskXppArGfvN_XnfTYxnwM-rK7DWOaKem6W4cY4wzFEQtSpVlMaOdH0KNeBSvKDkTpxwxWBD1Bp1wrsXQFmrluWXmgguN024g6Kzgz7QUVxzDv0XCX7qille2yjQ-GsgoNuAx_vdm" \t "_blank" </w:instrText>
      </w:r>
      <w:r>
        <w:rPr>
          <w:rFonts w:ascii="宋体" w:hAnsi="宋体" w:cs="仿宋_GB2312"/>
        </w:rPr>
        <w:fldChar w:fldCharType="separate"/>
      </w:r>
    </w:p>
    <w:p>
      <w:pPr>
        <w:spacing w:line="360" w:lineRule="exact"/>
        <w:ind w:firstLine="420" w:firstLineChars="200"/>
        <w:rPr>
          <w:rStyle w:val="32"/>
          <w:rFonts w:hAnsi="宋体" w:cs="仿宋_GB2312"/>
        </w:rPr>
      </w:pPr>
      <w:r>
        <w:rPr>
          <w:rStyle w:val="32"/>
          <w:rFonts w:hint="eastAsia" w:hAnsi="宋体" w:cs="仿宋_GB2312"/>
        </w:rPr>
        <w:t xml:space="preserve">JB/T 9798.1 </w:t>
      </w:r>
      <w:r>
        <w:rPr>
          <w:rStyle w:val="32"/>
          <w:rFonts w:hAnsi="宋体" w:cs="仿宋_GB2312"/>
        </w:rPr>
        <w:t>手扶拖拉机配套旋耕机</w:t>
      </w:r>
      <w:r>
        <w:rPr>
          <w:rStyle w:val="32"/>
          <w:rFonts w:hint="eastAsia" w:hAnsi="宋体" w:cs="仿宋_GB2312"/>
        </w:rPr>
        <w:t xml:space="preserve"> </w:t>
      </w:r>
      <w:r>
        <w:rPr>
          <w:rStyle w:val="32"/>
          <w:rFonts w:hAnsi="宋体" w:cs="仿宋_GB2312"/>
        </w:rPr>
        <w:t>第1部分：技术条件</w:t>
      </w:r>
    </w:p>
    <w:p>
      <w:pPr>
        <w:spacing w:line="360" w:lineRule="exact"/>
        <w:ind w:firstLine="420" w:firstLineChars="200"/>
        <w:rPr>
          <w:rFonts w:ascii="宋体" w:hAnsi="宋体" w:cs="仿宋_GB2312"/>
        </w:rPr>
      </w:pPr>
      <w:r>
        <w:rPr>
          <w:rFonts w:ascii="宋体" w:hAnsi="宋体" w:cs="仿宋_GB2312"/>
        </w:rPr>
        <w:fldChar w:fldCharType="end"/>
      </w:r>
      <w:r>
        <w:rPr>
          <w:rFonts w:hint="eastAsia" w:ascii="宋体" w:hAnsi="宋体" w:cs="仿宋_GB2312"/>
        </w:rPr>
        <w:t>JB/T 13081 自走履带式旋耕机</w:t>
      </w:r>
    </w:p>
    <w:p>
      <w:pPr>
        <w:pStyle w:val="104"/>
        <w:spacing w:before="312" w:after="312"/>
        <w:rPr>
          <w:szCs w:val="21"/>
        </w:rPr>
      </w:pPr>
      <w:bookmarkStart w:id="50" w:name="_Toc114065173"/>
      <w:bookmarkStart w:id="51" w:name="_Toc143966214"/>
      <w:r>
        <w:rPr>
          <w:rFonts w:hint="eastAsia"/>
          <w:szCs w:val="21"/>
        </w:rPr>
        <w:t>术语和定义</w:t>
      </w:r>
      <w:bookmarkEnd w:id="49"/>
      <w:bookmarkEnd w:id="50"/>
      <w:bookmarkEnd w:id="51"/>
    </w:p>
    <w:sdt>
      <w:sdtPr>
        <w:id w:val="-1909835108"/>
        <w:placeholder>
          <w:docPart w:val="10399ABBC68849329830D3D3A54AE15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52" w:name="_Toc26986532"/>
          <w:bookmarkEnd w:id="52"/>
          <w:r>
            <w:t>下列术语和定义适用于本文件。</w:t>
          </w:r>
        </w:p>
      </w:sdtContent>
    </w:sdt>
    <w:p>
      <w:pPr>
        <w:pStyle w:val="105"/>
        <w:spacing w:before="156" w:after="156"/>
        <w:rPr>
          <w:rFonts w:ascii="宋体" w:hAnsi="宋体" w:eastAsia="宋体"/>
        </w:rPr>
      </w:pPr>
      <w:bookmarkStart w:id="53" w:name="_Toc114065174"/>
      <w:bookmarkStart w:id="54" w:name="_Toc143966215"/>
      <w:r>
        <w:rPr>
          <w:rFonts w:hint="eastAsia" w:hAnsi="黑体"/>
        </w:rPr>
        <w:t>玉米大豆带状复合种植</w:t>
      </w:r>
      <w:r>
        <w:rPr>
          <w:rFonts w:hAnsi="黑体"/>
        </w:rPr>
        <w:t>Corn and soybean belt compound planting</w:t>
      </w:r>
    </w:p>
    <w:p>
      <w:pPr>
        <w:pStyle w:val="105"/>
        <w:numPr>
          <w:ilvl w:val="2"/>
          <w:numId w:val="0"/>
        </w:numPr>
        <w:spacing w:before="156" w:after="156"/>
        <w:ind w:leftChars="0" w:firstLine="210" w:firstLineChars="100"/>
        <w:rPr>
          <w:rFonts w:ascii="宋体" w:hAnsi="宋体" w:eastAsia="宋体"/>
        </w:rPr>
      </w:pPr>
      <w:r>
        <w:rPr>
          <w:rFonts w:hint="eastAsia" w:ascii="宋体" w:hAnsi="宋体" w:eastAsia="宋体"/>
        </w:rPr>
        <w:t xml:space="preserve"> </w:t>
      </w:r>
      <w:r>
        <w:rPr>
          <w:rFonts w:ascii="宋体" w:hAnsi="宋体" w:eastAsia="宋体"/>
        </w:rPr>
        <w:t>充分利用高位作物玉米的边行优势,扩大低位作物大豆的受光空间,采用2行</w:t>
      </w:r>
      <w:r>
        <w:rPr>
          <w:rFonts w:hint="eastAsia" w:ascii="宋体" w:hAnsi="宋体" w:eastAsia="宋体"/>
        </w:rPr>
        <w:t>～</w:t>
      </w:r>
      <w:r>
        <w:rPr>
          <w:rFonts w:ascii="宋体" w:hAnsi="宋体" w:eastAsia="宋体"/>
        </w:rPr>
        <w:t>4行玉米，2行</w:t>
      </w:r>
      <w:r>
        <w:rPr>
          <w:rFonts w:hint="eastAsia" w:ascii="宋体" w:hAnsi="宋体" w:eastAsia="宋体"/>
        </w:rPr>
        <w:t>～</w:t>
      </w:r>
      <w:r>
        <w:rPr>
          <w:rFonts w:ascii="宋体" w:hAnsi="宋体" w:eastAsia="宋体"/>
        </w:rPr>
        <w:t>6行大豆行比配置，年际间实行带间轮作，实现一年两收,达到稳玉米、扩大豆的目的</w:t>
      </w:r>
      <w:r>
        <w:rPr>
          <w:rFonts w:hint="eastAsia" w:ascii="宋体" w:hAnsi="宋体" w:eastAsia="宋体"/>
        </w:rPr>
        <w:t>种植模式。</w:t>
      </w:r>
      <w:bookmarkEnd w:id="53"/>
      <w:bookmarkEnd w:id="54"/>
    </w:p>
    <w:p>
      <w:pPr>
        <w:pStyle w:val="104"/>
        <w:spacing w:before="312" w:after="312"/>
      </w:pPr>
      <w:bookmarkStart w:id="55" w:name="_Toc143966216"/>
      <w:r>
        <w:rPr>
          <w:rFonts w:hint="eastAsia"/>
        </w:rPr>
        <w:t>品种选择和质量要求</w:t>
      </w:r>
      <w:bookmarkEnd w:id="55"/>
    </w:p>
    <w:p>
      <w:pPr>
        <w:pStyle w:val="105"/>
        <w:spacing w:before="156" w:after="156"/>
        <w:rPr>
          <w:rFonts w:ascii="宋体" w:hAnsi="宋体" w:eastAsia="宋体"/>
        </w:rPr>
      </w:pPr>
      <w:bookmarkStart w:id="56" w:name="_Toc143966217"/>
      <w:r>
        <w:rPr>
          <w:rFonts w:ascii="宋体" w:hAnsi="宋体" w:eastAsia="宋体"/>
        </w:rPr>
        <w:t>根据资源禀赋、种植制度、水肥条件等因素，选择适宜的品种搭配。大豆应选用耐荫、耐密、抗倒能力强、底荚高度在10厘米以上的经国家或</w:t>
      </w:r>
      <w:r>
        <w:rPr>
          <w:rFonts w:hint="eastAsia" w:ascii="宋体" w:hAnsi="宋体" w:eastAsia="宋体"/>
        </w:rPr>
        <w:t>湖南</w:t>
      </w:r>
      <w:r>
        <w:rPr>
          <w:rFonts w:ascii="宋体" w:hAnsi="宋体" w:eastAsia="宋体"/>
        </w:rPr>
        <w:t>审定的品种，根据种植季节不同，大豆具体品种选择如下：</w:t>
      </w:r>
      <w:bookmarkEnd w:id="56"/>
    </w:p>
    <w:p>
      <w:pPr>
        <w:pStyle w:val="105"/>
        <w:numPr>
          <w:ilvl w:val="0"/>
          <w:numId w:val="32"/>
        </w:numPr>
        <w:spacing w:before="0" w:beforeLines="0" w:after="0" w:afterLines="0"/>
        <w:rPr>
          <w:rFonts w:ascii="宋体" w:hAnsi="宋体" w:eastAsia="宋体"/>
        </w:rPr>
      </w:pPr>
      <w:bookmarkStart w:id="57" w:name="_Toc143966218"/>
      <w:r>
        <w:rPr>
          <w:rFonts w:hint="eastAsia" w:ascii="宋体" w:hAnsi="宋体" w:eastAsia="宋体"/>
        </w:rPr>
        <w:t>春玉米春大豆带状间作：湘春 2704、油春 1204（湖南北部）、湘春 2701、湘春豆 V8、天隆</w:t>
      </w:r>
      <w:bookmarkEnd w:id="57"/>
    </w:p>
    <w:p>
      <w:pPr>
        <w:pStyle w:val="105"/>
        <w:numPr>
          <w:ilvl w:val="0"/>
          <w:numId w:val="0"/>
        </w:numPr>
        <w:spacing w:before="0" w:beforeLines="0" w:after="0" w:afterLines="0"/>
        <w:rPr>
          <w:rFonts w:ascii="宋体" w:hAnsi="宋体" w:eastAsia="宋体"/>
        </w:rPr>
      </w:pPr>
      <w:bookmarkStart w:id="58" w:name="_Toc143966219"/>
      <w:r>
        <w:rPr>
          <w:rFonts w:hint="eastAsia" w:ascii="宋体" w:hAnsi="宋体" w:eastAsia="宋体"/>
        </w:rPr>
        <w:t>一号、中豆 52、衡春豆8号等</w:t>
      </w:r>
      <w:bookmarkEnd w:id="58"/>
      <w:r>
        <w:rPr>
          <w:rFonts w:hint="eastAsia" w:ascii="宋体" w:hAnsi="宋体" w:eastAsia="宋体"/>
        </w:rPr>
        <w:t>；</w:t>
      </w:r>
    </w:p>
    <w:p>
      <w:pPr>
        <w:pStyle w:val="56"/>
        <w:ind w:firstLine="420"/>
      </w:pPr>
      <w:r>
        <w:rPr>
          <w:rFonts w:hint="eastAsia"/>
        </w:rPr>
        <w:t>b、夏玉米夏大豆带状间作：中豆 41、皖宿 01—15、齐黄34（未审定仅供示范）等；</w:t>
      </w:r>
    </w:p>
    <w:p>
      <w:pPr>
        <w:pStyle w:val="56"/>
        <w:ind w:firstLine="420"/>
      </w:pPr>
      <w:r>
        <w:t>C</w:t>
      </w:r>
      <w:r>
        <w:rPr>
          <w:rFonts w:hint="eastAsia"/>
        </w:rPr>
        <w:t>、春玉米夏大豆带状套作：桂夏 7 号（湖南南部）、南农99—6、南夏豆 25（未审定仅供示范）等，也可选用地方优良品种。</w:t>
      </w:r>
    </w:p>
    <w:p>
      <w:pPr>
        <w:pStyle w:val="105"/>
        <w:spacing w:before="156" w:after="156"/>
        <w:rPr>
          <w:rFonts w:ascii="宋体" w:hAnsi="宋体" w:eastAsia="宋体"/>
        </w:rPr>
      </w:pPr>
      <w:bookmarkStart w:id="59" w:name="_Toc143966220"/>
      <w:r>
        <w:rPr>
          <w:rFonts w:ascii="宋体" w:hAnsi="宋体" w:eastAsia="宋体"/>
        </w:rPr>
        <w:t>玉米品种应选用株型紧凑、抗倒伏、耐高温、适宜密植和机械化收获并</w:t>
      </w:r>
      <w:r>
        <w:rPr>
          <w:rFonts w:hint="eastAsia" w:ascii="宋体" w:hAnsi="宋体" w:eastAsia="宋体"/>
        </w:rPr>
        <w:t>经国家或湖南审定的品种</w:t>
      </w:r>
      <w:r>
        <w:rPr>
          <w:rFonts w:ascii="宋体" w:hAnsi="宋体" w:eastAsia="宋体"/>
        </w:rPr>
        <w:t>高产品种。</w:t>
      </w:r>
      <w:r>
        <w:rPr>
          <w:rFonts w:hint="eastAsia" w:ascii="宋体" w:hAnsi="宋体" w:eastAsia="宋体"/>
        </w:rPr>
        <w:t>根据地域不同，具体玉米品种选择如下：</w:t>
      </w:r>
      <w:bookmarkEnd w:id="59"/>
    </w:p>
    <w:p>
      <w:pPr>
        <w:pStyle w:val="105"/>
        <w:numPr>
          <w:ilvl w:val="0"/>
          <w:numId w:val="33"/>
        </w:numPr>
        <w:spacing w:before="156" w:after="156"/>
        <w:rPr>
          <w:rFonts w:ascii="宋体" w:hAnsi="宋体" w:eastAsia="宋体"/>
        </w:rPr>
      </w:pPr>
      <w:bookmarkStart w:id="60" w:name="_Toc143966221"/>
      <w:r>
        <w:rPr>
          <w:rFonts w:hint="eastAsia" w:ascii="宋体" w:hAnsi="宋体" w:eastAsia="宋体"/>
        </w:rPr>
        <w:t>平湖、丘陵区：沣玉 1 号、沣玉 4 号、湘荟玉 1 号、裕丰 303等。</w:t>
      </w:r>
      <w:bookmarkEnd w:id="60"/>
    </w:p>
    <w:p>
      <w:pPr>
        <w:pStyle w:val="105"/>
        <w:numPr>
          <w:ilvl w:val="0"/>
          <w:numId w:val="33"/>
        </w:numPr>
        <w:spacing w:before="156" w:after="156"/>
        <w:rPr>
          <w:rFonts w:ascii="宋体" w:hAnsi="宋体" w:eastAsia="宋体"/>
        </w:rPr>
      </w:pPr>
      <w:bookmarkStart w:id="61" w:name="_Toc143966222"/>
      <w:r>
        <w:rPr>
          <w:rFonts w:hint="eastAsia" w:ascii="宋体" w:hAnsi="宋体" w:eastAsia="宋体"/>
        </w:rPr>
        <w:t>山区：三北89、联创 808、同玉 18、百农 5 号、先玉 1795、康农玉 007、蠡单 22 等。</w:t>
      </w:r>
      <w:bookmarkEnd w:id="61"/>
    </w:p>
    <w:p>
      <w:pPr>
        <w:pStyle w:val="105"/>
        <w:spacing w:before="156" w:after="156"/>
        <w:rPr>
          <w:rFonts w:ascii="宋体" w:hAnsi="宋体" w:eastAsia="宋体"/>
        </w:rPr>
      </w:pPr>
      <w:bookmarkStart w:id="62" w:name="_Toc143966223"/>
      <w:r>
        <w:rPr>
          <w:rFonts w:hint="eastAsia" w:ascii="宋体" w:hAnsi="宋体" w:eastAsia="宋体"/>
        </w:rPr>
        <w:t>品种还应和</w:t>
      </w:r>
      <w:r>
        <w:rPr>
          <w:rFonts w:ascii="宋体" w:hAnsi="宋体" w:eastAsia="宋体"/>
        </w:rPr>
        <w:t>前后茬的合理搭配，实现周年均衡优质高产。</w:t>
      </w:r>
      <w:bookmarkEnd w:id="62"/>
    </w:p>
    <w:p>
      <w:pPr>
        <w:pStyle w:val="105"/>
        <w:spacing w:before="156" w:after="156"/>
        <w:rPr>
          <w:rFonts w:ascii="宋体" w:hAnsi="宋体" w:eastAsia="宋体"/>
        </w:rPr>
      </w:pPr>
      <w:bookmarkStart w:id="63" w:name="_Toc143966224"/>
      <w:r>
        <w:rPr>
          <w:rFonts w:hint="eastAsia" w:ascii="宋体" w:hAnsi="宋体" w:eastAsia="宋体"/>
        </w:rPr>
        <w:t>种子用量玉米按15kg</w:t>
      </w:r>
      <w:r>
        <w:rPr>
          <w:rFonts w:hint="eastAsia" w:ascii="宋体" w:hAnsi="宋体" w:eastAsia="宋体"/>
          <w:kern w:val="2"/>
          <w:szCs w:val="21"/>
        </w:rPr>
        <w:t>/</w:t>
      </w:r>
      <w:r>
        <w:rPr>
          <w:rFonts w:hint="eastAsia" w:ascii="宋体" w:hAnsi="宋体" w:eastAsia="宋体"/>
        </w:rPr>
        <w:t>hm</w:t>
      </w:r>
      <w:r>
        <w:rPr>
          <w:rFonts w:hint="eastAsia" w:ascii="宋体" w:hAnsi="宋体" w:eastAsia="宋体"/>
          <w:vertAlign w:val="superscript"/>
        </w:rPr>
        <w:t>2</w:t>
      </w:r>
      <w:r>
        <w:rPr>
          <w:rFonts w:hint="eastAsia" w:ascii="宋体" w:hAnsi="宋体" w:eastAsia="宋体"/>
        </w:rPr>
        <w:t>～20kg/hm</w:t>
      </w:r>
      <w:r>
        <w:rPr>
          <w:rFonts w:hint="eastAsia" w:ascii="宋体" w:hAnsi="宋体" w:eastAsia="宋体"/>
          <w:vertAlign w:val="superscript"/>
        </w:rPr>
        <w:t>2</w:t>
      </w:r>
      <w:r>
        <w:rPr>
          <w:rFonts w:hint="eastAsia" w:ascii="宋体" w:hAnsi="宋体" w:eastAsia="宋体"/>
        </w:rPr>
        <w:t>准备，大豆按37kg/</w:t>
      </w:r>
      <w:r>
        <w:rPr>
          <w:rFonts w:hint="eastAsia" w:ascii="宋体" w:hAnsi="宋体" w:eastAsia="宋体"/>
          <w:kern w:val="2"/>
          <w:szCs w:val="21"/>
        </w:rPr>
        <w:t xml:space="preserve"> </w:t>
      </w:r>
      <w:r>
        <w:rPr>
          <w:rFonts w:hint="eastAsia" w:ascii="宋体" w:hAnsi="宋体" w:eastAsia="宋体"/>
        </w:rPr>
        <w:t>hm</w:t>
      </w:r>
      <w:r>
        <w:rPr>
          <w:rFonts w:hint="eastAsia" w:ascii="宋体" w:hAnsi="宋体" w:eastAsia="宋体"/>
          <w:vertAlign w:val="superscript"/>
        </w:rPr>
        <w:t>2</w:t>
      </w:r>
      <w:r>
        <w:rPr>
          <w:rFonts w:hint="eastAsia" w:ascii="宋体" w:hAnsi="宋体" w:eastAsia="宋体"/>
        </w:rPr>
        <w:t>～45kg/hm</w:t>
      </w:r>
      <w:r>
        <w:rPr>
          <w:rFonts w:hint="eastAsia" w:ascii="宋体" w:hAnsi="宋体" w:eastAsia="宋体"/>
          <w:vertAlign w:val="superscript"/>
        </w:rPr>
        <w:t>2</w:t>
      </w:r>
      <w:r>
        <w:rPr>
          <w:rFonts w:hint="eastAsia" w:ascii="宋体" w:hAnsi="宋体" w:eastAsia="宋体"/>
        </w:rPr>
        <w:t>准备。</w:t>
      </w:r>
      <w:bookmarkEnd w:id="63"/>
      <w:r>
        <w:rPr>
          <w:rFonts w:hint="eastAsia" w:ascii="宋体" w:hAnsi="宋体" w:eastAsia="宋体"/>
        </w:rPr>
        <w:t xml:space="preserve"> </w:t>
      </w:r>
    </w:p>
    <w:p>
      <w:pPr>
        <w:pStyle w:val="105"/>
        <w:spacing w:before="156" w:after="156"/>
        <w:rPr>
          <w:rFonts w:ascii="宋体" w:hAnsi="宋体" w:eastAsia="宋体"/>
        </w:rPr>
      </w:pPr>
      <w:bookmarkStart w:id="64" w:name="_Toc143966225"/>
      <w:r>
        <w:rPr>
          <w:rFonts w:hint="eastAsia" w:ascii="宋体" w:hAnsi="宋体" w:eastAsia="宋体"/>
        </w:rPr>
        <w:t>玉米种子应符合</w:t>
      </w:r>
      <w:r>
        <w:rPr>
          <w:rFonts w:ascii="宋体" w:hAnsi="宋体" w:eastAsia="宋体"/>
        </w:rPr>
        <w:t>GB</w:t>
      </w:r>
      <w:r>
        <w:rPr>
          <w:rFonts w:hint="eastAsia" w:ascii="宋体" w:hAnsi="宋体" w:eastAsia="宋体"/>
        </w:rPr>
        <w:t xml:space="preserve"> </w:t>
      </w:r>
      <w:r>
        <w:rPr>
          <w:rFonts w:ascii="宋体" w:hAnsi="宋体" w:eastAsia="宋体"/>
        </w:rPr>
        <w:t>440</w:t>
      </w:r>
      <w:r>
        <w:rPr>
          <w:rFonts w:hint="eastAsia" w:ascii="宋体" w:hAnsi="宋体" w:eastAsia="宋体"/>
        </w:rPr>
        <w:t>4</w:t>
      </w:r>
      <w:r>
        <w:rPr>
          <w:rFonts w:ascii="宋体" w:hAnsi="宋体" w:eastAsia="宋体"/>
        </w:rPr>
        <w:t>.1的要求。大豆种子应符合GB</w:t>
      </w:r>
      <w:r>
        <w:rPr>
          <w:rFonts w:hint="eastAsia" w:ascii="宋体" w:hAnsi="宋体" w:eastAsia="宋体"/>
        </w:rPr>
        <w:t xml:space="preserve"> </w:t>
      </w:r>
      <w:r>
        <w:rPr>
          <w:rFonts w:ascii="宋体" w:hAnsi="宋体" w:eastAsia="宋体"/>
        </w:rPr>
        <w:t>440</w:t>
      </w:r>
      <w:r>
        <w:rPr>
          <w:rFonts w:hint="eastAsia" w:ascii="宋体" w:hAnsi="宋体" w:eastAsia="宋体"/>
        </w:rPr>
        <w:t>4</w:t>
      </w:r>
      <w:r>
        <w:rPr>
          <w:rFonts w:ascii="宋体" w:hAnsi="宋体" w:eastAsia="宋体"/>
        </w:rPr>
        <w:t>.</w:t>
      </w:r>
      <w:r>
        <w:rPr>
          <w:rFonts w:hint="eastAsia" w:ascii="宋体" w:hAnsi="宋体" w:eastAsia="宋体"/>
        </w:rPr>
        <w:t>2的要求。</w:t>
      </w:r>
      <w:bookmarkEnd w:id="64"/>
    </w:p>
    <w:p>
      <w:pPr>
        <w:pStyle w:val="105"/>
        <w:spacing w:before="156" w:after="156"/>
      </w:pPr>
      <w:bookmarkStart w:id="65" w:name="_Toc143966226"/>
      <w:r>
        <w:rPr>
          <w:rFonts w:hint="eastAsia" w:ascii="宋体" w:hAnsi="宋体" w:eastAsia="宋体"/>
        </w:rPr>
        <w:t>播种前精选种子并晒种。根据大豆、玉米的土传病害和苗期病虫害发生情况，选择适宜的药剂按农艺要求拌种。</w:t>
      </w:r>
      <w:bookmarkEnd w:id="65"/>
    </w:p>
    <w:p>
      <w:pPr>
        <w:pStyle w:val="104"/>
        <w:spacing w:before="312" w:after="312"/>
      </w:pPr>
      <w:bookmarkStart w:id="66" w:name="_Toc114065178"/>
      <w:bookmarkStart w:id="67" w:name="_Toc143966227"/>
      <w:r>
        <w:t>耕整地</w:t>
      </w:r>
      <w:bookmarkEnd w:id="66"/>
      <w:bookmarkEnd w:id="67"/>
    </w:p>
    <w:p>
      <w:pPr>
        <w:pStyle w:val="105"/>
        <w:spacing w:before="156" w:after="156"/>
        <w:rPr>
          <w:rFonts w:ascii="宋体" w:hAnsi="宋体" w:eastAsia="宋体"/>
        </w:rPr>
      </w:pPr>
      <w:bookmarkStart w:id="68" w:name="_Toc143966228"/>
      <w:r>
        <w:rPr>
          <w:rFonts w:hint="eastAsia" w:ascii="宋体" w:hAnsi="宋体" w:eastAsia="宋体"/>
          <w:lang w:eastAsia="zh-CN"/>
        </w:rPr>
        <w:t>玉米大豆</w:t>
      </w:r>
      <w:r>
        <w:rPr>
          <w:rFonts w:hint="eastAsia" w:ascii="宋体" w:hAnsi="宋体" w:eastAsia="宋体"/>
        </w:rPr>
        <w:t>带状复合种植应选择土壤肥力良好，相对集中连片地块，PH值中性，坡度小于10度，地势相对平坦、向阳的田块。</w:t>
      </w:r>
      <w:bookmarkEnd w:id="68"/>
    </w:p>
    <w:p>
      <w:pPr>
        <w:pStyle w:val="105"/>
        <w:spacing w:before="156" w:after="156"/>
        <w:rPr>
          <w:rFonts w:ascii="宋体" w:hAnsi="宋体" w:eastAsia="宋体"/>
        </w:rPr>
      </w:pPr>
      <w:bookmarkStart w:id="69" w:name="_Toc143966229"/>
      <w:r>
        <w:rPr>
          <w:rFonts w:hint="eastAsia" w:ascii="宋体" w:hAnsi="宋体" w:eastAsia="宋体"/>
        </w:rPr>
        <w:t>根据田块规模，选用旋耕机或自走履带式旋耕机和手扶拖拉机配套旋耕机进行耕整地。地势较低地块在地面四周应开出“边沟”和“十字沟”，方便排水。</w:t>
      </w:r>
      <w:bookmarkEnd w:id="69"/>
    </w:p>
    <w:p>
      <w:pPr>
        <w:pStyle w:val="105"/>
        <w:spacing w:before="156" w:after="156"/>
      </w:pPr>
      <w:bookmarkStart w:id="70" w:name="_Toc143966230"/>
      <w:r>
        <w:rPr>
          <w:rFonts w:hint="eastAsia" w:ascii="宋体" w:hAnsi="宋体" w:eastAsia="宋体"/>
        </w:rPr>
        <w:t>播种前旋耕1次～2次，机具应符合其产品标准的要求，作业质量应符合GB/T 5668或JB/T 13081和JB/T 9798.1的要求。</w:t>
      </w:r>
      <w:bookmarkEnd w:id="70"/>
    </w:p>
    <w:p>
      <w:pPr>
        <w:pStyle w:val="104"/>
        <w:spacing w:before="312" w:after="312"/>
      </w:pPr>
      <w:bookmarkStart w:id="71" w:name="_Toc143966231"/>
      <w:r>
        <w:t>播种时间</w:t>
      </w:r>
      <w:bookmarkEnd w:id="71"/>
    </w:p>
    <w:p>
      <w:pPr>
        <w:pStyle w:val="105"/>
        <w:spacing w:before="156" w:after="156"/>
        <w:rPr>
          <w:rFonts w:ascii="宋体" w:hAnsi="宋体" w:eastAsia="宋体"/>
        </w:rPr>
      </w:pPr>
      <w:bookmarkStart w:id="72" w:name="_Toc143966232"/>
      <w:r>
        <w:rPr>
          <w:rFonts w:hint="eastAsia" w:ascii="宋体" w:hAnsi="宋体" w:eastAsia="宋体"/>
        </w:rPr>
        <w:t>春玉米春大豆带状间作：湘中、湘南、湘东地区 3 月中旬至 4 月上旬播种；湘西、湘北地区 3 月中下旬至 4 月上中旬播种。</w:t>
      </w:r>
      <w:bookmarkEnd w:id="72"/>
    </w:p>
    <w:p>
      <w:pPr>
        <w:pStyle w:val="105"/>
        <w:spacing w:before="156" w:after="156"/>
        <w:rPr>
          <w:rFonts w:ascii="宋体" w:hAnsi="宋体" w:eastAsia="宋体"/>
        </w:rPr>
      </w:pPr>
      <w:bookmarkStart w:id="73" w:name="_Toc143966233"/>
      <w:r>
        <w:rPr>
          <w:rFonts w:hint="eastAsia" w:ascii="宋体" w:hAnsi="宋体" w:eastAsia="宋体"/>
        </w:rPr>
        <w:t>春玉米夏大豆带状套作：玉米播期与间作模式相同，春玉米播期一般 3 月中下旬至 4 月上旬播种，套作大豆适宜播期一般在 6 月份。</w:t>
      </w:r>
      <w:bookmarkEnd w:id="73"/>
    </w:p>
    <w:p>
      <w:pPr>
        <w:pStyle w:val="105"/>
        <w:spacing w:before="156" w:after="156"/>
        <w:rPr>
          <w:rFonts w:ascii="宋体" w:hAnsi="宋体" w:eastAsia="宋体"/>
        </w:rPr>
      </w:pPr>
      <w:bookmarkStart w:id="74" w:name="_Toc143966234"/>
      <w:r>
        <w:rPr>
          <w:rFonts w:hint="eastAsia" w:ascii="宋体" w:hAnsi="宋体" w:eastAsia="宋体"/>
        </w:rPr>
        <w:t>夏玉米夏大豆带状间作：夏玉米夏大豆一般 5 月中下旬至 6 月上中旬播种。</w:t>
      </w:r>
      <w:bookmarkEnd w:id="74"/>
    </w:p>
    <w:p>
      <w:pPr>
        <w:pStyle w:val="104"/>
        <w:spacing w:before="312" w:after="312"/>
      </w:pPr>
      <w:bookmarkStart w:id="75" w:name="_Toc143966235"/>
      <w:r>
        <w:t>播种</w:t>
      </w:r>
      <w:bookmarkEnd w:id="75"/>
    </w:p>
    <w:p>
      <w:pPr>
        <w:pStyle w:val="105"/>
        <w:spacing w:before="156" w:after="156"/>
        <w:rPr>
          <w:rFonts w:ascii="宋体" w:hAnsi="宋体" w:eastAsia="宋体"/>
        </w:rPr>
      </w:pPr>
      <w:bookmarkStart w:id="76" w:name="_Toc143966236"/>
      <w:r>
        <w:rPr>
          <w:rFonts w:hint="eastAsia" w:ascii="宋体" w:hAnsi="宋体" w:eastAsia="宋体"/>
        </w:rPr>
        <w:t>播种方式</w:t>
      </w:r>
      <w:bookmarkEnd w:id="76"/>
    </w:p>
    <w:p>
      <w:pPr>
        <w:pStyle w:val="65"/>
        <w:spacing w:before="156" w:after="156"/>
        <w:rPr>
          <w:rFonts w:ascii="宋体" w:hAnsi="宋体" w:eastAsia="宋体"/>
        </w:rPr>
      </w:pPr>
      <w:r>
        <w:rPr>
          <w:rFonts w:hint="eastAsia" w:ascii="宋体" w:hAnsi="宋体" w:eastAsia="宋体"/>
        </w:rPr>
        <w:t>根据种植规模、田块大小，确定播种方式和播种机具。</w:t>
      </w:r>
    </w:p>
    <w:p>
      <w:pPr>
        <w:pStyle w:val="65"/>
        <w:spacing w:before="156" w:after="156"/>
        <w:rPr>
          <w:rFonts w:ascii="宋体" w:hAnsi="宋体" w:eastAsia="宋体"/>
        </w:rPr>
      </w:pPr>
      <w:r>
        <w:rPr>
          <w:rFonts w:hint="eastAsia" w:ascii="宋体" w:hAnsi="宋体" w:eastAsia="宋体"/>
        </w:rPr>
        <w:t>湖区、丘陵区田块面积较大，机具通过性能较好的地区应以</w:t>
      </w:r>
      <w:r>
        <w:rPr>
          <w:rFonts w:hint="eastAsia" w:ascii="宋体" w:hAnsi="宋体" w:eastAsia="宋体"/>
          <w:lang w:eastAsia="zh-CN"/>
        </w:rPr>
        <w:t>玉米大豆</w:t>
      </w:r>
      <w:r>
        <w:rPr>
          <w:rFonts w:hint="eastAsia" w:ascii="宋体" w:hAnsi="宋体" w:eastAsia="宋体"/>
        </w:rPr>
        <w:t>同期播种为主，优先选用集旋耕、播种、施肥、开沟、喷洒除草剂于一体的多功能播种机，机具作业速度以3km/h～</w:t>
      </w:r>
      <w:r>
        <w:rPr>
          <w:rFonts w:ascii="宋体" w:hAnsi="宋体" w:eastAsia="宋体"/>
        </w:rPr>
        <w:t>4km/h为</w:t>
      </w:r>
      <w:r>
        <w:rPr>
          <w:rFonts w:hint="eastAsia" w:ascii="宋体" w:hAnsi="宋体" w:eastAsia="宋体"/>
        </w:rPr>
        <w:t>宜</w:t>
      </w:r>
      <w:r>
        <w:rPr>
          <w:rFonts w:ascii="宋体" w:hAnsi="宋体" w:eastAsia="宋体"/>
        </w:rPr>
        <w:t>。</w:t>
      </w:r>
    </w:p>
    <w:p>
      <w:pPr>
        <w:pStyle w:val="65"/>
        <w:spacing w:before="156" w:after="156"/>
        <w:rPr>
          <w:rFonts w:ascii="宋体" w:hAnsi="宋体" w:eastAsia="宋体"/>
        </w:rPr>
      </w:pPr>
      <w:r>
        <w:rPr>
          <w:rFonts w:hint="eastAsia" w:ascii="宋体" w:hAnsi="宋体" w:eastAsia="宋体"/>
        </w:rPr>
        <w:t>山区田块面积较小、形状不规则、机具通过性能差的区域，可采用手扶式施肥播种一体机或点播器播种。</w:t>
      </w:r>
    </w:p>
    <w:p>
      <w:pPr>
        <w:pStyle w:val="65"/>
        <w:spacing w:before="156" w:after="156"/>
        <w:rPr>
          <w:rFonts w:ascii="宋体" w:hAnsi="宋体" w:eastAsia="宋体"/>
        </w:rPr>
      </w:pPr>
      <w:r>
        <w:rPr>
          <w:rFonts w:hint="eastAsia" w:ascii="宋体" w:hAnsi="宋体" w:eastAsia="宋体"/>
        </w:rPr>
        <w:t>播种机具应符合其产品标准的要求</w:t>
      </w:r>
    </w:p>
    <w:p>
      <w:pPr>
        <w:pStyle w:val="65"/>
        <w:spacing w:before="156" w:after="156"/>
        <w:rPr>
          <w:rFonts w:hint="eastAsia" w:ascii="宋体" w:hAnsi="宋体" w:eastAsia="宋体"/>
        </w:rPr>
      </w:pPr>
      <w:r>
        <w:rPr>
          <w:rFonts w:hint="eastAsia" w:ascii="宋体" w:hAnsi="宋体" w:eastAsia="宋体"/>
        </w:rPr>
        <w:t>大面积作业前，</w:t>
      </w:r>
      <w:r>
        <w:rPr>
          <w:rFonts w:ascii="宋体" w:hAnsi="宋体" w:eastAsia="宋体"/>
        </w:rPr>
        <w:t>应进行试播，查验播种作业质量</w:t>
      </w:r>
      <w:r>
        <w:rPr>
          <w:rFonts w:hint="eastAsia" w:ascii="宋体" w:hAnsi="宋体" w:eastAsia="宋体"/>
        </w:rPr>
        <w:t>、</w:t>
      </w:r>
      <w:r>
        <w:rPr>
          <w:rFonts w:ascii="宋体" w:hAnsi="宋体" w:eastAsia="宋体"/>
        </w:rPr>
        <w:t>机具作业参数</w:t>
      </w:r>
      <w:r>
        <w:rPr>
          <w:rFonts w:hint="eastAsia" w:ascii="宋体" w:hAnsi="宋体" w:eastAsia="宋体"/>
        </w:rPr>
        <w:t>和</w:t>
      </w:r>
      <w:r>
        <w:rPr>
          <w:rFonts w:ascii="宋体" w:hAnsi="宋体" w:eastAsia="宋体"/>
        </w:rPr>
        <w:t>播种深度</w:t>
      </w:r>
      <w:r>
        <w:rPr>
          <w:rFonts w:hint="eastAsia" w:ascii="宋体" w:hAnsi="宋体" w:eastAsia="宋体"/>
        </w:rPr>
        <w:t>及</w:t>
      </w:r>
      <w:r>
        <w:rPr>
          <w:rFonts w:ascii="宋体" w:hAnsi="宋体" w:eastAsia="宋体"/>
        </w:rPr>
        <w:t>镇压强度是否符合作业要求，必要时应适时调整，方可进行大面积播种。</w:t>
      </w:r>
    </w:p>
    <w:p>
      <w:pPr>
        <w:pStyle w:val="65"/>
        <w:spacing w:before="156" w:after="156"/>
        <w:rPr>
          <w:rFonts w:ascii="宋体" w:hAnsi="宋体" w:eastAsia="宋体"/>
        </w:rPr>
      </w:pPr>
      <w:r>
        <w:rPr>
          <w:rFonts w:ascii="宋体" w:hAnsi="宋体" w:eastAsia="宋体"/>
        </w:rPr>
        <w:t>作业时，应适当降低作业速度，提高小穴距条件下播种作业质量，一般勺轮式排种器作业速度为3km/h</w:t>
      </w:r>
      <w:r>
        <w:rPr>
          <w:rFonts w:hint="eastAsia" w:ascii="宋体" w:hAnsi="宋体" w:eastAsia="宋体"/>
        </w:rPr>
        <w:t>～</w:t>
      </w:r>
      <w:r>
        <w:rPr>
          <w:rFonts w:ascii="宋体" w:hAnsi="宋体" w:eastAsia="宋体"/>
        </w:rPr>
        <w:t>4</w:t>
      </w:r>
      <w:r>
        <w:rPr>
          <w:rFonts w:hint="eastAsia" w:ascii="宋体" w:hAnsi="宋体" w:eastAsia="宋体"/>
        </w:rPr>
        <w:t>km</w:t>
      </w:r>
      <w:r>
        <w:rPr>
          <w:rFonts w:ascii="宋体" w:hAnsi="宋体" w:eastAsia="宋体"/>
        </w:rPr>
        <w:t>/</w:t>
      </w:r>
      <w:r>
        <w:rPr>
          <w:rFonts w:hint="eastAsia" w:ascii="宋体" w:hAnsi="宋体" w:eastAsia="宋体"/>
        </w:rPr>
        <w:t>h</w:t>
      </w:r>
      <w:r>
        <w:rPr>
          <w:rFonts w:ascii="宋体" w:hAnsi="宋体" w:eastAsia="宋体"/>
        </w:rPr>
        <w:t>，指夹式为5km/h</w:t>
      </w:r>
      <w:r>
        <w:rPr>
          <w:rFonts w:hint="eastAsia" w:ascii="宋体" w:hAnsi="宋体" w:eastAsia="宋体"/>
        </w:rPr>
        <w:t>～</w:t>
      </w:r>
      <w:r>
        <w:rPr>
          <w:rFonts w:ascii="宋体" w:hAnsi="宋体" w:eastAsia="宋体"/>
        </w:rPr>
        <w:t>6</w:t>
      </w:r>
      <w:r>
        <w:rPr>
          <w:rFonts w:hint="eastAsia" w:ascii="宋体" w:hAnsi="宋体" w:eastAsia="宋体"/>
        </w:rPr>
        <w:t>km</w:t>
      </w:r>
      <w:r>
        <w:rPr>
          <w:rFonts w:ascii="宋体" w:hAnsi="宋体" w:eastAsia="宋体"/>
        </w:rPr>
        <w:t>/</w:t>
      </w:r>
      <w:r>
        <w:rPr>
          <w:rFonts w:hint="eastAsia" w:ascii="宋体" w:hAnsi="宋体" w:eastAsia="宋体"/>
        </w:rPr>
        <w:t>h</w:t>
      </w:r>
      <w:r>
        <w:rPr>
          <w:rFonts w:ascii="宋体" w:hAnsi="宋体" w:eastAsia="宋体"/>
        </w:rPr>
        <w:t>，气力式为6km/h</w:t>
      </w:r>
      <w:r>
        <w:rPr>
          <w:rFonts w:hint="eastAsia" w:ascii="宋体" w:hAnsi="宋体" w:eastAsia="宋体"/>
        </w:rPr>
        <w:t>～</w:t>
      </w:r>
      <w:r>
        <w:rPr>
          <w:rFonts w:ascii="宋体" w:hAnsi="宋体" w:eastAsia="宋体"/>
        </w:rPr>
        <w:t>8</w:t>
      </w:r>
      <w:r>
        <w:rPr>
          <w:rFonts w:hint="eastAsia" w:ascii="宋体" w:hAnsi="宋体" w:eastAsia="宋体"/>
        </w:rPr>
        <w:t>km</w:t>
      </w:r>
      <w:r>
        <w:rPr>
          <w:rFonts w:ascii="宋体" w:hAnsi="宋体" w:eastAsia="宋体"/>
        </w:rPr>
        <w:t>/</w:t>
      </w:r>
      <w:r>
        <w:rPr>
          <w:rFonts w:hint="eastAsia" w:ascii="宋体" w:hAnsi="宋体" w:eastAsia="宋体"/>
        </w:rPr>
        <w:t>h</w:t>
      </w:r>
      <w:r>
        <w:rPr>
          <w:rFonts w:ascii="宋体" w:hAnsi="宋体" w:eastAsia="宋体"/>
        </w:rPr>
        <w:t>，同时注意保持衔接行距均匀一致。</w:t>
      </w:r>
    </w:p>
    <w:p>
      <w:pPr>
        <w:pStyle w:val="105"/>
        <w:spacing w:before="156" w:after="156"/>
        <w:rPr>
          <w:rFonts w:ascii="宋体" w:hAnsi="宋体" w:eastAsia="宋体"/>
        </w:rPr>
      </w:pPr>
      <w:bookmarkStart w:id="77" w:name="_Toc143966237"/>
      <w:r>
        <w:rPr>
          <w:rFonts w:hint="eastAsia" w:ascii="宋体" w:hAnsi="宋体" w:eastAsia="宋体"/>
        </w:rPr>
        <w:t>种植密度</w:t>
      </w:r>
      <w:bookmarkEnd w:id="77"/>
    </w:p>
    <w:p>
      <w:pPr>
        <w:pStyle w:val="65"/>
        <w:spacing w:before="156" w:after="156"/>
        <w:rPr>
          <w:rFonts w:ascii="宋体" w:hAnsi="宋体" w:eastAsia="宋体"/>
        </w:rPr>
      </w:pPr>
      <w:r>
        <w:rPr>
          <w:rFonts w:hint="eastAsia" w:ascii="宋体" w:hAnsi="宋体" w:eastAsia="宋体"/>
        </w:rPr>
        <w:t>玉米应与当地同品种净作玉米密度相当，</w:t>
      </w:r>
      <w:r>
        <w:rPr>
          <w:rFonts w:ascii="宋体" w:hAnsi="宋体" w:eastAsia="宋体"/>
        </w:rPr>
        <w:t>密度一般为</w:t>
      </w:r>
      <w:r>
        <w:rPr>
          <w:rFonts w:hint="eastAsia" w:ascii="宋体" w:hAnsi="宋体" w:eastAsia="宋体"/>
        </w:rPr>
        <w:t>7万</w:t>
      </w:r>
      <w:r>
        <w:rPr>
          <w:rFonts w:ascii="宋体" w:hAnsi="宋体" w:eastAsia="宋体"/>
        </w:rPr>
        <w:t>株/hm</w:t>
      </w:r>
      <w:r>
        <w:rPr>
          <w:rFonts w:hint="eastAsia" w:ascii="宋体" w:hAnsi="宋体" w:eastAsia="宋体"/>
          <w:vertAlign w:val="superscript"/>
        </w:rPr>
        <w:t>2</w:t>
      </w:r>
      <w:r>
        <w:rPr>
          <w:rFonts w:hint="eastAsia" w:ascii="宋体" w:hAnsi="宋体" w:eastAsia="宋体"/>
        </w:rPr>
        <w:t>左右，</w:t>
      </w:r>
      <w:r>
        <w:rPr>
          <w:rFonts w:ascii="宋体" w:hAnsi="宋体" w:eastAsia="宋体"/>
        </w:rPr>
        <w:t>行距接近40</w:t>
      </w:r>
      <w:r>
        <w:rPr>
          <w:rFonts w:hint="eastAsia" w:ascii="宋体" w:hAnsi="宋体" w:eastAsia="宋体"/>
        </w:rPr>
        <w:t>cm</w:t>
      </w:r>
      <w:r>
        <w:rPr>
          <w:rFonts w:ascii="宋体" w:hAnsi="宋体" w:eastAsia="宋体"/>
        </w:rPr>
        <w:t>，株距12cm</w:t>
      </w:r>
      <w:r>
        <w:rPr>
          <w:rFonts w:hint="eastAsia" w:ascii="宋体" w:hAnsi="宋体" w:eastAsia="宋体"/>
        </w:rPr>
        <w:t>～</w:t>
      </w:r>
      <w:r>
        <w:rPr>
          <w:rFonts w:ascii="宋体" w:hAnsi="宋体" w:eastAsia="宋体"/>
        </w:rPr>
        <w:t>1</w:t>
      </w:r>
      <w:r>
        <w:rPr>
          <w:rFonts w:hint="eastAsia" w:ascii="宋体" w:hAnsi="宋体" w:eastAsia="宋体"/>
        </w:rPr>
        <w:t>5cm。</w:t>
      </w:r>
    </w:p>
    <w:p>
      <w:pPr>
        <w:pStyle w:val="65"/>
        <w:spacing w:before="156" w:after="156"/>
        <w:rPr>
          <w:rFonts w:ascii="宋体" w:hAnsi="宋体" w:eastAsia="宋体"/>
        </w:rPr>
      </w:pPr>
      <w:r>
        <w:rPr>
          <w:rFonts w:hint="eastAsia" w:ascii="宋体" w:hAnsi="宋体" w:eastAsia="宋体"/>
        </w:rPr>
        <w:t>大豆间作大豆适宜密度按净作密度的70%为宜，</w:t>
      </w:r>
      <w:r>
        <w:rPr>
          <w:rFonts w:ascii="宋体" w:hAnsi="宋体" w:eastAsia="宋体"/>
        </w:rPr>
        <w:t>密度一般为</w:t>
      </w:r>
      <w:r>
        <w:rPr>
          <w:rFonts w:hint="eastAsia" w:ascii="宋体" w:hAnsi="宋体" w:eastAsia="宋体"/>
        </w:rPr>
        <w:t>14万</w:t>
      </w:r>
      <w:r>
        <w:rPr>
          <w:rFonts w:ascii="宋体" w:hAnsi="宋体" w:eastAsia="宋体"/>
        </w:rPr>
        <w:t>株/</w:t>
      </w:r>
      <w:r>
        <w:rPr>
          <w:rFonts w:hint="eastAsia" w:ascii="宋体" w:hAnsi="宋体" w:eastAsia="宋体"/>
        </w:rPr>
        <w:t>hm</w:t>
      </w:r>
      <w:r>
        <w:rPr>
          <w:rFonts w:hint="eastAsia" w:ascii="宋体" w:hAnsi="宋体" w:eastAsia="宋体"/>
          <w:vertAlign w:val="superscript"/>
        </w:rPr>
        <w:t>2</w:t>
      </w:r>
      <w:r>
        <w:rPr>
          <w:rFonts w:hint="eastAsia" w:ascii="宋体" w:hAnsi="宋体" w:eastAsia="宋体"/>
        </w:rPr>
        <w:t>左右，行距接近40cm，株距9cm～10cm。</w:t>
      </w:r>
    </w:p>
    <w:p>
      <w:pPr>
        <w:pStyle w:val="105"/>
        <w:spacing w:before="156" w:after="156"/>
        <w:rPr>
          <w:rFonts w:ascii="宋体" w:hAnsi="宋体" w:eastAsia="宋体"/>
        </w:rPr>
      </w:pPr>
      <w:r>
        <w:rPr>
          <w:rFonts w:ascii="宋体" w:hAnsi="宋体" w:eastAsia="宋体"/>
        </w:rPr>
        <w:t>作业完成后，应对机具进行维护保养，保存在干燥通风的环境中，并采取必要的防灰防雨等措施。</w:t>
      </w:r>
    </w:p>
    <w:bookmarkEnd w:id="25"/>
    <w:p>
      <w:pPr>
        <w:pStyle w:val="56"/>
        <w:ind w:firstLine="420"/>
      </w:pPr>
      <w:r>
        <w:rPr>
          <w:rFonts w:hint="eastAsia"/>
        </w:rPr>
        <w:t xml:space="preserve">                   </w:t>
      </w:r>
    </w:p>
    <w:p>
      <w:pPr>
        <w:widowControl/>
        <w:autoSpaceDE w:val="0"/>
        <w:autoSpaceDN w:val="0"/>
        <w:spacing w:line="340" w:lineRule="exact"/>
        <w:rPr>
          <w:kern w:val="0"/>
          <w:szCs w:val="20"/>
        </w:rPr>
      </w:pPr>
    </w:p>
    <w:p>
      <w:pPr>
        <w:widowControl/>
        <w:autoSpaceDE w:val="0"/>
        <w:autoSpaceDN w:val="0"/>
        <w:spacing w:line="340" w:lineRule="exact"/>
        <w:rPr>
          <w:kern w:val="0"/>
          <w:szCs w:val="20"/>
        </w:rPr>
      </w:pPr>
    </w:p>
    <w:p>
      <w:pPr>
        <w:widowControl/>
        <w:autoSpaceDE w:val="0"/>
        <w:autoSpaceDN w:val="0"/>
        <w:spacing w:line="340" w:lineRule="exact"/>
        <w:rPr>
          <w:rFonts w:hint="eastAsia"/>
        </w:rPr>
      </w:pPr>
      <w:r>
        <mc:AlternateContent>
          <mc:Choice Requires="wps">
            <w:drawing>
              <wp:anchor distT="0" distB="0" distL="114300" distR="114300" simplePos="0" relativeHeight="251661312" behindDoc="0" locked="0" layoutInCell="1" allowOverlap="1">
                <wp:simplePos x="0" y="0"/>
                <wp:positionH relativeFrom="column">
                  <wp:posOffset>1827530</wp:posOffset>
                </wp:positionH>
                <wp:positionV relativeFrom="paragraph">
                  <wp:posOffset>54610</wp:posOffset>
                </wp:positionV>
                <wp:extent cx="1811020" cy="0"/>
                <wp:effectExtent l="0" t="9525" r="17780" b="9525"/>
                <wp:wrapNone/>
                <wp:docPr id="14" name="直接连接符 14"/>
                <wp:cNvGraphicFramePr/>
                <a:graphic xmlns:a="http://schemas.openxmlformats.org/drawingml/2006/main">
                  <a:graphicData uri="http://schemas.microsoft.com/office/word/2010/wordprocessingShape">
                    <wps:wsp>
                      <wps:cNvCnPr/>
                      <wps:spPr>
                        <a:xfrm>
                          <a:off x="0" y="0"/>
                          <a:ext cx="2259965" cy="0"/>
                        </a:xfrm>
                        <a:prstGeom prst="line">
                          <a:avLst/>
                        </a:prstGeom>
                        <a:noFill/>
                        <a:ln w="19050" cap="flat" cmpd="sng" algn="ctr">
                          <a:solidFill>
                            <a:sysClr val="windowText" lastClr="000000"/>
                          </a:solidFill>
                          <a:prstDash val="solid"/>
                        </a:ln>
                        <a:effectLst/>
                      </wps:spPr>
                      <wps:bodyPr/>
                    </wps:wsp>
                  </a:graphicData>
                </a:graphic>
              </wp:anchor>
            </w:drawing>
          </mc:Choice>
          <mc:Fallback>
            <w:pict>
              <v:line id="_x0000_s1026" o:spid="_x0000_s1026" o:spt="20" style="position:absolute;left:0pt;margin-left:143.9pt;margin-top:4.3pt;height:0pt;width:142.6pt;z-index:251661312;mso-width-relative:page;mso-height-relative:page;" filled="f" stroked="t" coordsize="21600,21600" o:gfxdata="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Crs0/TU&#10;AAAABwEAAA8AAAAAAAAAAQAgAAAAIgAAAGRycy9kb3ducmV2LnhtbFBLAQIUABQAAAAIAIdO4kD1&#10;zlWm6wEAAL8DAAAOAAAAAAAAAAEAIAAAACMBAABkcnMvZTJvRG9jLnhtbFBLBQYAAAAABgAGAFkB&#10;AACABQAAAAA=&#10;">
                <v:fill on="f" focussize="0,0"/>
                <v:stroke weight="1.5pt" color="#000000" joinstyle="round"/>
                <v:imagedata o:title=""/>
                <o:lock v:ext="edit" aspectratio="f"/>
              </v:line>
            </w:pict>
          </mc:Fallback>
        </mc:AlternateContent>
      </w:r>
    </w:p>
    <w:p>
      <w:pPr>
        <w:pStyle w:val="56"/>
        <w:ind w:firstLine="0" w:firstLineChars="0"/>
      </w:pPr>
    </w:p>
    <w:p>
      <w:pPr>
        <w:pStyle w:val="56"/>
        <w:ind w:firstLine="420"/>
      </w:pPr>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方正仿宋_GBK">
    <w:altName w:val="微软雅黑"/>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43/T XXXX—2023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43/T XXXX—2023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39B34EA9"/>
    <w:multiLevelType w:val="multilevel"/>
    <w:tmpl w:val="39B34EA9"/>
    <w:lvl w:ilvl="0" w:tentative="0">
      <w:start w:val="1"/>
      <w:numFmt w:val="low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4FA70AE"/>
    <w:multiLevelType w:val="multilevel"/>
    <w:tmpl w:val="44FA70AE"/>
    <w:lvl w:ilvl="0" w:tentative="0">
      <w:start w:val="1"/>
      <w:numFmt w:val="lowerLetter"/>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0"/>
  </w:num>
  <w:num w:numId="6">
    <w:abstractNumId w:val="15"/>
  </w:num>
  <w:num w:numId="7">
    <w:abstractNumId w:val="8"/>
  </w:num>
  <w:num w:numId="8">
    <w:abstractNumId w:val="3"/>
  </w:num>
  <w:num w:numId="9">
    <w:abstractNumId w:val="9"/>
  </w:num>
  <w:num w:numId="10">
    <w:abstractNumId w:val="18"/>
  </w:num>
  <w:num w:numId="11">
    <w:abstractNumId w:val="27"/>
  </w:num>
  <w:num w:numId="12">
    <w:abstractNumId w:val="11"/>
  </w:num>
  <w:num w:numId="13">
    <w:abstractNumId w:val="13"/>
  </w:num>
  <w:num w:numId="14">
    <w:abstractNumId w:val="7"/>
  </w:num>
  <w:num w:numId="15">
    <w:abstractNumId w:val="21"/>
  </w:num>
  <w:num w:numId="16">
    <w:abstractNumId w:val="23"/>
  </w:num>
  <w:num w:numId="17">
    <w:abstractNumId w:val="19"/>
  </w:num>
  <w:num w:numId="18">
    <w:abstractNumId w:val="31"/>
  </w:num>
  <w:num w:numId="19">
    <w:abstractNumId w:val="17"/>
  </w:num>
  <w:num w:numId="20">
    <w:abstractNumId w:val="1"/>
  </w:num>
  <w:num w:numId="21">
    <w:abstractNumId w:val="10"/>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6"/>
  </w:num>
  <w:num w:numId="30">
    <w:abstractNumId w:val="26"/>
  </w:num>
  <w:num w:numId="31">
    <w:abstractNumId w:val="24"/>
  </w:num>
  <w:num w:numId="32">
    <w:abstractNumId w:val="14"/>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qQeeRyMgl6+UKRen59SI82nfpo626jPySQXxXXsVa+zKJgKGPlA1F9IoomQAdEnidNyk2lIM8ZY4+dPJgrgADA==" w:salt="y1eAR77jdECGv4OXLa7M/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hOGU5NTQzMzMwYTMxYTE0OGQ1MDk4MWRjOGI1M2QifQ=="/>
  </w:docVars>
  <w:rsids>
    <w:rsidRoot w:val="00F6242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51DA"/>
    <w:rsid w:val="00047F28"/>
    <w:rsid w:val="000503AA"/>
    <w:rsid w:val="000506A1"/>
    <w:rsid w:val="000515DD"/>
    <w:rsid w:val="0005265A"/>
    <w:rsid w:val="000539DD"/>
    <w:rsid w:val="00053BD3"/>
    <w:rsid w:val="000556ED"/>
    <w:rsid w:val="00055FE2"/>
    <w:rsid w:val="0005616F"/>
    <w:rsid w:val="000577FD"/>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04C51"/>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5809"/>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0C33"/>
    <w:rsid w:val="0017340B"/>
    <w:rsid w:val="00173FB1"/>
    <w:rsid w:val="00176DFD"/>
    <w:rsid w:val="00181FF7"/>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55E4"/>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10B5"/>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236"/>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4C2A"/>
    <w:rsid w:val="00266EEB"/>
    <w:rsid w:val="00267EF4"/>
    <w:rsid w:val="00270CB8"/>
    <w:rsid w:val="00272B08"/>
    <w:rsid w:val="002771AC"/>
    <w:rsid w:val="00281BB8"/>
    <w:rsid w:val="00281E9E"/>
    <w:rsid w:val="00282405"/>
    <w:rsid w:val="00285170"/>
    <w:rsid w:val="00285361"/>
    <w:rsid w:val="00292D60"/>
    <w:rsid w:val="00293B30"/>
    <w:rsid w:val="002942AC"/>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10BE"/>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70C8"/>
    <w:rsid w:val="003615D2"/>
    <w:rsid w:val="0036429C"/>
    <w:rsid w:val="00364A53"/>
    <w:rsid w:val="003654CB"/>
    <w:rsid w:val="00365AA9"/>
    <w:rsid w:val="00365F86"/>
    <w:rsid w:val="00365F87"/>
    <w:rsid w:val="00366E89"/>
    <w:rsid w:val="003705F4"/>
    <w:rsid w:val="00370D58"/>
    <w:rsid w:val="00371316"/>
    <w:rsid w:val="00371852"/>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7571"/>
    <w:rsid w:val="003B09AD"/>
    <w:rsid w:val="003B1F18"/>
    <w:rsid w:val="003B5BF0"/>
    <w:rsid w:val="003B60BF"/>
    <w:rsid w:val="003B6BE3"/>
    <w:rsid w:val="003C010C"/>
    <w:rsid w:val="003C0A6C"/>
    <w:rsid w:val="003C14F8"/>
    <w:rsid w:val="003C5A43"/>
    <w:rsid w:val="003D0519"/>
    <w:rsid w:val="003D0FF6"/>
    <w:rsid w:val="003D262C"/>
    <w:rsid w:val="003D5EDE"/>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10F4"/>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BEE"/>
    <w:rsid w:val="00492F02"/>
    <w:rsid w:val="004939AE"/>
    <w:rsid w:val="004A12DF"/>
    <w:rsid w:val="004A17E6"/>
    <w:rsid w:val="004A1BA8"/>
    <w:rsid w:val="004A4B57"/>
    <w:rsid w:val="004A63FA"/>
    <w:rsid w:val="004B0272"/>
    <w:rsid w:val="004B17BC"/>
    <w:rsid w:val="004B2701"/>
    <w:rsid w:val="004B2E1B"/>
    <w:rsid w:val="004B3AA8"/>
    <w:rsid w:val="004B3E93"/>
    <w:rsid w:val="004B46C8"/>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9CE"/>
    <w:rsid w:val="00516088"/>
    <w:rsid w:val="00516B0B"/>
    <w:rsid w:val="005220EC"/>
    <w:rsid w:val="00523F95"/>
    <w:rsid w:val="00524D65"/>
    <w:rsid w:val="00524FAD"/>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6623C"/>
    <w:rsid w:val="005664F7"/>
    <w:rsid w:val="00573D9E"/>
    <w:rsid w:val="005801E3"/>
    <w:rsid w:val="00581802"/>
    <w:rsid w:val="005836A8"/>
    <w:rsid w:val="0058409C"/>
    <w:rsid w:val="00584262"/>
    <w:rsid w:val="005862BF"/>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1FEC"/>
    <w:rsid w:val="00612952"/>
    <w:rsid w:val="00614CC1"/>
    <w:rsid w:val="00615A9D"/>
    <w:rsid w:val="00617387"/>
    <w:rsid w:val="006205D6"/>
    <w:rsid w:val="006252D8"/>
    <w:rsid w:val="006259BC"/>
    <w:rsid w:val="0062636B"/>
    <w:rsid w:val="00630A84"/>
    <w:rsid w:val="00632182"/>
    <w:rsid w:val="00632AE0"/>
    <w:rsid w:val="00633C17"/>
    <w:rsid w:val="00634D9E"/>
    <w:rsid w:val="00636843"/>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12A"/>
    <w:rsid w:val="0068026D"/>
    <w:rsid w:val="00680A27"/>
    <w:rsid w:val="006816A4"/>
    <w:rsid w:val="006819B8"/>
    <w:rsid w:val="006840A6"/>
    <w:rsid w:val="006850CD"/>
    <w:rsid w:val="00685AAB"/>
    <w:rsid w:val="00695D22"/>
    <w:rsid w:val="006A07AA"/>
    <w:rsid w:val="006A25E5"/>
    <w:rsid w:val="006A2B46"/>
    <w:rsid w:val="006A336D"/>
    <w:rsid w:val="006A37B9"/>
    <w:rsid w:val="006A4EEC"/>
    <w:rsid w:val="006B24C2"/>
    <w:rsid w:val="006B2672"/>
    <w:rsid w:val="006B54BF"/>
    <w:rsid w:val="006B5F44"/>
    <w:rsid w:val="006B5F90"/>
    <w:rsid w:val="006B62E4"/>
    <w:rsid w:val="006B753D"/>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055"/>
    <w:rsid w:val="007322D9"/>
    <w:rsid w:val="00732BC0"/>
    <w:rsid w:val="0073720F"/>
    <w:rsid w:val="00737796"/>
    <w:rsid w:val="0074165C"/>
    <w:rsid w:val="00741C43"/>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475B"/>
    <w:rsid w:val="00765C43"/>
    <w:rsid w:val="00765EFB"/>
    <w:rsid w:val="007671CA"/>
    <w:rsid w:val="00767C61"/>
    <w:rsid w:val="0077008A"/>
    <w:rsid w:val="00773C1F"/>
    <w:rsid w:val="00774DA4"/>
    <w:rsid w:val="00776599"/>
    <w:rsid w:val="0078114B"/>
    <w:rsid w:val="00781DD2"/>
    <w:rsid w:val="00783ECF"/>
    <w:rsid w:val="0078413A"/>
    <w:rsid w:val="00784DE4"/>
    <w:rsid w:val="007959E8"/>
    <w:rsid w:val="00795E9C"/>
    <w:rsid w:val="007A0521"/>
    <w:rsid w:val="007A2E12"/>
    <w:rsid w:val="007A3475"/>
    <w:rsid w:val="007A41C8"/>
    <w:rsid w:val="007A54CE"/>
    <w:rsid w:val="007A6FD9"/>
    <w:rsid w:val="007A7FFA"/>
    <w:rsid w:val="007B04EB"/>
    <w:rsid w:val="007B0D4F"/>
    <w:rsid w:val="007B154D"/>
    <w:rsid w:val="007B5A3D"/>
    <w:rsid w:val="007B5B95"/>
    <w:rsid w:val="007B68EA"/>
    <w:rsid w:val="007B7453"/>
    <w:rsid w:val="007C1E8B"/>
    <w:rsid w:val="007C24E1"/>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4AB"/>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0167"/>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1466"/>
    <w:rsid w:val="009D47FA"/>
    <w:rsid w:val="009D4C5B"/>
    <w:rsid w:val="009D50D2"/>
    <w:rsid w:val="009D6BCA"/>
    <w:rsid w:val="009E0F62"/>
    <w:rsid w:val="009E17FF"/>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3F43"/>
    <w:rsid w:val="00A14C8E"/>
    <w:rsid w:val="00A153D9"/>
    <w:rsid w:val="00A15F09"/>
    <w:rsid w:val="00A169B6"/>
    <w:rsid w:val="00A2271D"/>
    <w:rsid w:val="00A2338B"/>
    <w:rsid w:val="00A237D5"/>
    <w:rsid w:val="00A25817"/>
    <w:rsid w:val="00A301EA"/>
    <w:rsid w:val="00A30EFC"/>
    <w:rsid w:val="00A31984"/>
    <w:rsid w:val="00A32D73"/>
    <w:rsid w:val="00A3367B"/>
    <w:rsid w:val="00A3597D"/>
    <w:rsid w:val="00A36DD1"/>
    <w:rsid w:val="00A4006C"/>
    <w:rsid w:val="00A40091"/>
    <w:rsid w:val="00A4030F"/>
    <w:rsid w:val="00A41C79"/>
    <w:rsid w:val="00A41CB5"/>
    <w:rsid w:val="00A41FD4"/>
    <w:rsid w:val="00A42CDF"/>
    <w:rsid w:val="00A4452E"/>
    <w:rsid w:val="00A4472C"/>
    <w:rsid w:val="00A44E69"/>
    <w:rsid w:val="00A4661E"/>
    <w:rsid w:val="00A55BD6"/>
    <w:rsid w:val="00A55D50"/>
    <w:rsid w:val="00A57142"/>
    <w:rsid w:val="00A648CD"/>
    <w:rsid w:val="00A6537A"/>
    <w:rsid w:val="00A65C4C"/>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343D"/>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3132"/>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D5CD2"/>
    <w:rsid w:val="00BE22F3"/>
    <w:rsid w:val="00BE5B52"/>
    <w:rsid w:val="00BE7B8D"/>
    <w:rsid w:val="00BF0993"/>
    <w:rsid w:val="00BF10A9"/>
    <w:rsid w:val="00BF1703"/>
    <w:rsid w:val="00BF231C"/>
    <w:rsid w:val="00BF51E5"/>
    <w:rsid w:val="00BF74A6"/>
    <w:rsid w:val="00C013AD"/>
    <w:rsid w:val="00C04904"/>
    <w:rsid w:val="00C056B3"/>
    <w:rsid w:val="00C057B4"/>
    <w:rsid w:val="00C103E5"/>
    <w:rsid w:val="00C13319"/>
    <w:rsid w:val="00C13EE9"/>
    <w:rsid w:val="00C21540"/>
    <w:rsid w:val="00C21906"/>
    <w:rsid w:val="00C21B2B"/>
    <w:rsid w:val="00C21BFA"/>
    <w:rsid w:val="00C22148"/>
    <w:rsid w:val="00C24C8D"/>
    <w:rsid w:val="00C25FE2"/>
    <w:rsid w:val="00C268EA"/>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3A02"/>
    <w:rsid w:val="00C84E33"/>
    <w:rsid w:val="00C85652"/>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0755"/>
    <w:rsid w:val="00CF155A"/>
    <w:rsid w:val="00CF2947"/>
    <w:rsid w:val="00CF686F"/>
    <w:rsid w:val="00CF6E60"/>
    <w:rsid w:val="00CF7BCA"/>
    <w:rsid w:val="00D005A2"/>
    <w:rsid w:val="00D008FD"/>
    <w:rsid w:val="00D0321C"/>
    <w:rsid w:val="00D035EC"/>
    <w:rsid w:val="00D06AB1"/>
    <w:rsid w:val="00D072ED"/>
    <w:rsid w:val="00D07A16"/>
    <w:rsid w:val="00D1067E"/>
    <w:rsid w:val="00D10F50"/>
    <w:rsid w:val="00D11272"/>
    <w:rsid w:val="00D126F5"/>
    <w:rsid w:val="00D1489E"/>
    <w:rsid w:val="00D17F9A"/>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334F"/>
    <w:rsid w:val="00D84941"/>
    <w:rsid w:val="00D84FA1"/>
    <w:rsid w:val="00D851F0"/>
    <w:rsid w:val="00D86DB7"/>
    <w:rsid w:val="00D926D0"/>
    <w:rsid w:val="00D93030"/>
    <w:rsid w:val="00D948BD"/>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6AF"/>
    <w:rsid w:val="00DD4FE5"/>
    <w:rsid w:val="00DD54B0"/>
    <w:rsid w:val="00DD57EE"/>
    <w:rsid w:val="00DD6BCC"/>
    <w:rsid w:val="00DE0A4B"/>
    <w:rsid w:val="00DE2410"/>
    <w:rsid w:val="00DE2939"/>
    <w:rsid w:val="00DE41CC"/>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77FA1"/>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512A"/>
    <w:rsid w:val="00EF7E72"/>
    <w:rsid w:val="00F06D37"/>
    <w:rsid w:val="00F07B9D"/>
    <w:rsid w:val="00F11586"/>
    <w:rsid w:val="00F1183B"/>
    <w:rsid w:val="00F11C9F"/>
    <w:rsid w:val="00F12263"/>
    <w:rsid w:val="00F13BA4"/>
    <w:rsid w:val="00F1409D"/>
    <w:rsid w:val="00F14214"/>
    <w:rsid w:val="00F157A9"/>
    <w:rsid w:val="00F177CB"/>
    <w:rsid w:val="00F25BB6"/>
    <w:rsid w:val="00F26B7E"/>
    <w:rsid w:val="00F27A3B"/>
    <w:rsid w:val="00F33817"/>
    <w:rsid w:val="00F420D5"/>
    <w:rsid w:val="00F451EA"/>
    <w:rsid w:val="00F45447"/>
    <w:rsid w:val="00F456C6"/>
    <w:rsid w:val="00F4577B"/>
    <w:rsid w:val="00F46496"/>
    <w:rsid w:val="00F474D0"/>
    <w:rsid w:val="00F50179"/>
    <w:rsid w:val="00F515EE"/>
    <w:rsid w:val="00F531F4"/>
    <w:rsid w:val="00F56511"/>
    <w:rsid w:val="00F6194E"/>
    <w:rsid w:val="00F623AC"/>
    <w:rsid w:val="00F6242F"/>
    <w:rsid w:val="00F6412A"/>
    <w:rsid w:val="00F64F5E"/>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2328"/>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4C23"/>
    <w:rsid w:val="00FE54AE"/>
    <w:rsid w:val="00FE576A"/>
    <w:rsid w:val="00FE7E79"/>
    <w:rsid w:val="00FF3E7D"/>
    <w:rsid w:val="00FF5B99"/>
    <w:rsid w:val="00FF730C"/>
    <w:rsid w:val="00FF73F4"/>
    <w:rsid w:val="00FF7CE4"/>
    <w:rsid w:val="00FF7E39"/>
    <w:rsid w:val="219F6805"/>
    <w:rsid w:val="22D462C4"/>
    <w:rsid w:val="572A1A72"/>
    <w:rsid w:val="73DF4D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uiPriority w:val="0"/>
    <w:rPr>
      <w:rFonts w:ascii="Arial" w:hAnsi="Arial" w:eastAsia="黑体"/>
      <w:kern w:val="2"/>
      <w:sz w:val="24"/>
      <w:szCs w:val="24"/>
    </w:rPr>
  </w:style>
  <w:style w:type="character" w:customStyle="1" w:styleId="42">
    <w:name w:val="标题 9 Char"/>
    <w:link w:val="10"/>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附录二级条标题"/>
    <w:basedOn w:val="1"/>
    <w:next w:val="1"/>
    <w:qFormat/>
    <w:uiPriority w:val="0"/>
    <w:pPr>
      <w:widowControl/>
      <w:tabs>
        <w:tab w:val="left" w:pos="1730"/>
      </w:tabs>
      <w:wordWrap w:val="0"/>
      <w:overflowPunct w:val="0"/>
      <w:autoSpaceDE w:val="0"/>
      <w:autoSpaceDN w:val="0"/>
      <w:adjustRightInd/>
      <w:spacing w:line="240" w:lineRule="auto"/>
      <w:ind w:left="1730" w:hanging="420"/>
      <w:textAlignment w:val="baseline"/>
      <w:outlineLvl w:val="3"/>
    </w:pPr>
    <w:rPr>
      <w:rFonts w:ascii="黑体" w:hAnsi="Times New Roman" w:eastAsia="黑体"/>
      <w:kern w:val="21"/>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A75EEB839E7499CAE9309427BACA8E8"/>
        <w:style w:val=""/>
        <w:category>
          <w:name w:val="常规"/>
          <w:gallery w:val="placeholder"/>
        </w:category>
        <w:types>
          <w:type w:val="bbPlcHdr"/>
        </w:types>
        <w:behaviors>
          <w:behavior w:val="content"/>
        </w:behaviors>
        <w:description w:val=""/>
        <w:guid w:val="{B9BE2779-84B7-42AB-A099-4FA091EF6BEE}"/>
      </w:docPartPr>
      <w:docPartBody>
        <w:p>
          <w:pPr>
            <w:pStyle w:val="5"/>
          </w:pPr>
          <w:r>
            <w:rPr>
              <w:rStyle w:val="4"/>
              <w:rFonts w:hint="eastAsia"/>
            </w:rPr>
            <w:t>单击或点击此处输入文字。</w:t>
          </w:r>
        </w:p>
      </w:docPartBody>
    </w:docPart>
    <w:docPart>
      <w:docPartPr>
        <w:name w:val="294ED7BC68A14FB2AE982BFC51ECBCAC"/>
        <w:style w:val=""/>
        <w:category>
          <w:name w:val="常规"/>
          <w:gallery w:val="placeholder"/>
        </w:category>
        <w:types>
          <w:type w:val="bbPlcHdr"/>
        </w:types>
        <w:behaviors>
          <w:behavior w:val="content"/>
        </w:behaviors>
        <w:description w:val=""/>
        <w:guid w:val="{64F83C2C-905E-433A-BBB4-868E5D6323EB}"/>
      </w:docPartPr>
      <w:docPartBody>
        <w:p>
          <w:pPr>
            <w:pStyle w:val="6"/>
          </w:pPr>
          <w:r>
            <w:rPr>
              <w:rStyle w:val="4"/>
              <w:rFonts w:hint="eastAsia"/>
            </w:rPr>
            <w:t>选择一项。</w:t>
          </w:r>
        </w:p>
      </w:docPartBody>
    </w:docPart>
    <w:docPart>
      <w:docPartPr>
        <w:name w:val="10399ABBC68849329830D3D3A54AE153"/>
        <w:style w:val=""/>
        <w:category>
          <w:name w:val="常规"/>
          <w:gallery w:val="placeholder"/>
        </w:category>
        <w:types>
          <w:type w:val="bbPlcHdr"/>
        </w:types>
        <w:behaviors>
          <w:behavior w:val="content"/>
        </w:behaviors>
        <w:description w:val=""/>
        <w:guid w:val="{4201596A-9B9F-45EE-8C35-5673B82BC922}"/>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A38"/>
    <w:rsid w:val="0020659C"/>
    <w:rsid w:val="002342B5"/>
    <w:rsid w:val="002750DB"/>
    <w:rsid w:val="00365B05"/>
    <w:rsid w:val="003A5EDF"/>
    <w:rsid w:val="003D3262"/>
    <w:rsid w:val="004F6A38"/>
    <w:rsid w:val="005A286D"/>
    <w:rsid w:val="00677B1C"/>
    <w:rsid w:val="00702688"/>
    <w:rsid w:val="007C5FAF"/>
    <w:rsid w:val="008C62BC"/>
    <w:rsid w:val="0092096B"/>
    <w:rsid w:val="00B45B2D"/>
    <w:rsid w:val="00C10BB5"/>
    <w:rsid w:val="00CF0AD4"/>
    <w:rsid w:val="00CF0E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6A75EEB839E7499CAE9309427BACA8E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94ED7BC68A14FB2AE982BFC51ECBCA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0399ABBC68849329830D3D3A54AE153"/>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86DCF8-686C-4513-A7AC-B839187C6760}">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6</Pages>
  <Words>1956</Words>
  <Characters>2290</Characters>
  <Lines>28</Lines>
  <Paragraphs>7</Paragraphs>
  <TotalTime>2</TotalTime>
  <ScaleCrop>false</ScaleCrop>
  <LinksUpToDate>false</LinksUpToDate>
  <CharactersWithSpaces>2427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2022-04-02T01:35:00Z</dcterms:created>
  <dc:creator>Administrator</dc:creator>
  <dc:description>&lt;config cover="true" show_menu="true" version="1.0.0" doctype="SDKXY"&gt;_x000d_
&lt;/config&gt;</dc:description>
  <cp:lastModifiedBy>WPS_1658105600</cp:lastModifiedBy>
  <cp:lastPrinted>2022-10-16T08:12:00Z</cp:lastPrinted>
  <dcterms:modified xsi:type="dcterms:W3CDTF">2023-08-29T01:47:12Z</dcterms:modified>
  <dc:title>地方标准</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2052-11.1.0.14309</vt:lpwstr>
  </property>
  <property fmtid="{D5CDD505-2E9C-101B-9397-08002B2CF9AE}" pid="15" name="ICV">
    <vt:lpwstr>9923DB968CEF4547AE32DCDF6497BF7B_12</vt:lpwstr>
  </property>
</Properties>
</file>